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KesselRun — Proposal Compliance Matrix &amp; Outline</w:t>
      </w:r>
    </w:p>
    <w:p>
      <w:r>
        <w:rPr>
          <w:b/>
          <w:bCs/>
          <w:sz w:val="22"/>
          <w:szCs w:val="22"/>
        </w:rPr>
        <w:t xml:space="preserve">RFQ 19TC1026Q0003 — Travel Management Services, U.S. Department of State / U.S. Embassy Abu Dhabi (UAE)</w:t>
      </w:r>
    </w:p>
    <w:p>
      <w:r>
        <w:rPr>
          <w:i/>
          <w:iCs/>
          <w:color w:val="666666"/>
          <w:sz w:val="18"/>
          <w:szCs w:val="18"/>
        </w:rPr>
        <w:t xml:space="preserve">Prepared by the SAM.gov monitoring agent · working draft for go/no-go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990000"/>
                <w:sz w:val="24"/>
                <w:szCs w:val="24"/>
              </w:rPr>
              <w:t xml:space="preserve">⚠  GO / NO-GO ALERT — LIKELY NO-BID</w:t>
            </w:r>
          </w:p>
          <w:p>
            <w:r>
              <w:rPr>
                <w:sz w:val="20"/>
                <w:szCs w:val="20"/>
              </w:rPr>
              <w:t xml:space="preserve">This RFQ is an overseas, local-market procurement for an on-site travel agent physically stationed at the U.S. Embassy in Abu Dhabi. Three requirements appear disqualifying for KesselRun as currently constituted: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Established business in the UAE for 7+ years with a valid UAE commercial license (Sec 3 ·1.2.8) — KesselRun is US-based with no UAE entity.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“No subcontractors permitted” (Sec 3 ·1.2.8) — so teaming with a licensed local UAE TMC to cure the gap is not allowed.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At least one dedicated on-site agent stationed at the Embassy in Abu Dhabi, plus an expected site visit (Sec 3 (3); 52.237-1) — requires local UAE staffing/presence.</w:t>
            </w:r>
          </w:p>
          <w:p>
            <w:r>
              <w:rPr>
                <w:sz w:val="20"/>
                <w:szCs w:val="20"/>
              </w:rPr>
              <w:t xml:space="preserve">Award basis is lowest total transaction fees (LPTA-style), contingent on compliance and FAR 9.1 responsibility — there is no best-value/technical scoring and no US small-business or SDVOSB set-aside advantage here.</w:t>
            </w:r>
          </w:p>
          <w:p>
            <w:r>
              <w:rPr>
                <w:b/>
                <w:bCs/>
                <w:color w:val="990000"/>
                <w:sz w:val="20"/>
                <w:szCs w:val="20"/>
              </w:rPr>
              <w:t xml:space="preserve">Recommendation: NO-BID unless KesselRun has, or will stand up, a qualifying 7-year UAE-licensed entity with local staff. Keep the matrix/outline below as the reusable template for domestic GSA travel RFQs, where KesselRun is well positioned.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Style w:val="Heading2"/>
      </w:pPr>
      <w:r>
        <w:t xml:space="preserve">Opportunity summary</w:t>
      </w:r>
    </w:p>
    <w:p>
      <w:pPr>
        <w:spacing w:after="40"/>
      </w:pPr>
      <w:r>
        <w:rPr>
          <w:b/>
          <w:bCs/>
          <w:sz w:val="20"/>
          <w:szCs w:val="20"/>
        </w:rPr>
        <w:t xml:space="preserve">Agency: </w:t>
      </w:r>
      <w:r>
        <w:rPr>
          <w:sz w:val="20"/>
          <w:szCs w:val="20"/>
        </w:rPr>
        <w:t xml:space="preserve">U.S. Dept. of State — U.S. Embassy Abu Dhabi, UAE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Solicitation: </w:t>
      </w:r>
      <w:r>
        <w:rPr>
          <w:sz w:val="20"/>
          <w:szCs w:val="20"/>
        </w:rPr>
        <w:t xml:space="preserve">19TC1026Q0003 (type: Solicitation / RFQ)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NAICS: </w:t>
      </w:r>
      <w:r>
        <w:rPr>
          <w:sz w:val="20"/>
          <w:szCs w:val="20"/>
        </w:rPr>
        <w:t xml:space="preserve">561510 — Travel Agencies</w:t>
      </w:r>
    </w:p>
    <w:p>
      <w:pPr>
        <w:spacing w:after="40"/>
      </w:pPr>
      <w:r>
        <w:rPr>
          <w:b/>
          <w:bCs/>
          <w:sz w:val="20"/>
          <w:szCs w:val="20"/>
        </w:rPr>
        <w:t xml:space="preserve">Contract type: </w:t>
      </w:r>
      <w:r>
        <w:rPr>
          <w:sz w:val="20"/>
          <w:szCs w:val="20"/>
        </w:rPr>
        <w:t xml:space="preserve">Requirements-type; base year + four 1-year options</w:t>
      </w:r>
    </w:p>
    <w:p>
      <w:pPr>
        <w:spacing w:after="40"/>
      </w:pPr>
      <w:r>
        <w:rPr>
          <w:b/>
          <w:bCs/>
          <w:sz w:val="20"/>
          <w:szCs w:val="20"/>
        </w:rPr>
        <w:t xml:space="preserve">Basis of award: </w:t>
      </w:r>
      <w:r>
        <w:rPr>
          <w:sz w:val="20"/>
          <w:szCs w:val="20"/>
        </w:rPr>
        <w:t xml:space="preserve">Lowest total transaction fees (per CLIN × estimated volumes, base + options), if compliant &amp; responsible (FAR 9.1)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Due: </w:t>
      </w:r>
      <w:r>
        <w:rPr>
          <w:sz w:val="20"/>
          <w:szCs w:val="20"/>
        </w:rPr>
        <w:t xml:space="preserve">July 9, 2026, 4:00 PM UAE time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Submission: </w:t>
      </w:r>
      <w:r>
        <w:rPr>
          <w:sz w:val="20"/>
          <w:szCs w:val="20"/>
        </w:rPr>
        <w:t xml:space="preserve">Email to AbuDhabiContracts@state.gov, cc JohnJM@state.gov; subject “Quotation Enclosed – Solicitation No.: 19TC1026Q0003”; PDF only; ≤10MB/email; PRICE and TECHNICAL submitted separately</w:t>
      </w:r>
    </w:p>
    <w:p>
      <w:pPr>
        <w:pStyle w:val="Heading1"/>
      </w:pPr>
      <w:r>
        <w:t xml:space="preserve">Compliance matrix</w:t>
      </w:r>
    </w:p>
    <w:p>
      <w:r>
        <w:rPr>
          <w:i/>
          <w:iCs/>
          <w:color w:val="666666"/>
          <w:sz w:val="18"/>
          <w:szCs w:val="18"/>
        </w:rPr>
        <w:t xml:space="preserve">Every submission requirement from the RFQ’s Document Submission Checklist and Section 3 instructions, mapped to reusable KesselRun source material and a status flag.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"/>
        <w:gridCol w:w="2700"/>
        <w:gridCol w:w="2700"/>
        <w:gridCol w:w="2100"/>
        <w:gridCol w:w="1400"/>
      </w:tblGrid>
      <w:tr>
        <w:trPr>
          <w:tblHeader/>
        </w:trP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Requirement (RFQ reference)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to submit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KesselRun source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SF-1449 cover page (Sec 3 ·1.1; blocks 12,17,19–24,30)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Completed &amp; signed SF-1449 cover page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Standard — fill form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AD3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Ready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Key Personnel resumes + English proficiency (Sec 3 ·1.2.1; PWS 20.0)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Resume per key person; confirm current employment &amp; English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Reuse: KesselRun key-personnel resumes (FTC/USAID vols)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Automated reservation system (Sec 3 ·1.2.2)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Identify GDS (Amadeus/Sabre/Galileo); note if 2 payment forms not accepted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Reuse: Technical Vol — Reservation Systems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Government fare ticketing (Sec 3 ·1.2.3)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Demonstrate ability to ticket gov fares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Reuse: Technical Vol — Ticketing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Non-CRS carrier &amp; CRS-down reservations (Sec 3 ·1.2.4)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Methods for non-CRS carriers &amp; when CRS is down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New content needed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5CD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Gap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Data capture (non-CRS / CRS down) (Sec 3 ·1.2.5)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Procedures for data capture in those cases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New content needed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5CD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Gap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Staffing plan (Sec 3 ·1.2.6; PWS 7.0)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Procedures to maintain adequate staffing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Reuse: Staffing Plan language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Quality Control Plan (Sec 3 ·1.2.7; PWS 8.0)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Prompt/courteous service; lowest available fares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Reuse: QC Plan (prior vols)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9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Established UAE business 7+ yrs + valid UAE commercial license; NO subcontractors (Sec 3 ·1.2.8)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Proof of 7+ yrs UAE operation, permanent address, phone, commercial license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NONE — KesselRun is US-based; no UAE entity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CCC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NO-BID GATE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Past performance, 3+ yrs (last 10) (Sec 3 ·1.2.9)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Per contract: dates, place, value, client contact, description; intl if no UAE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Reuse: Past Performance vol — but must show intl/UAE-relevant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5CD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Adapt/Gap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11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SAM registration + UEI + CAGE (Sec 3 (2))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Proof of active SAM, UEI, CAGE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KesselRun has SAM/UEI/CAGE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AD3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Ready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On-site agent at U.S. Embassy Abu Dhabi (Sec 3 (3); PWS 7.0)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Capacity for ≥1 dedicated on-site agent in UAE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Requires local UAE staff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5CD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Gap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13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Strategic plan (Sec 3 (4))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(a) work plan all PWS elements; (b) equipment/supplies inventory+acquisition; (c) QA &amp; oversight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Partial reuse + new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5CD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Adapt/Gap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14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Workers' Comp insurance (Sec 3 (5))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Valid certificate(s)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Needs UAE-valid coverage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5CD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Gap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15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Audited financials, 3 yrs (Sec 3 (6))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Past three years audited statements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KesselRun financials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AD3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Ready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Representations &amp; Certifications (Sec 5)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Section 5 completed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Standard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AD3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Ready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17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DBA insurance + IRS Form W-14 (52.212-1 addendum)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DBA premium costs included; W-14 submitted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Standard admin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AD3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Ready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18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Site visit — U.S. Embassy Abu Dhabi (52.237-1)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Offerors urged/expected to inspect site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Requires travel to UAE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5CD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Gap</w:t>
            </w:r>
          </w:p>
        </w:tc>
      </w:tr>
      <w:tr>
        <w:tc>
          <w:tcPr>
            <w:tcW w:type="dxa" w:w="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19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Pricing — transaction fees per CLIN, base + 4 options (Sec 1; Sec 4)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Fixed transaction fee per CLIN for each period; submitted SEPARATELY from technical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Adapt: KesselRun pricing model → transaction-fee structure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Adapt</w:t>
            </w:r>
          </w:p>
        </w:tc>
      </w:tr>
    </w:tbl>
    <w:p>
      <w:pPr>
        <w:spacing w:before="80"/>
      </w:pPr>
      <w:r>
        <w:rPr>
          <w:i/>
          <w:iCs/>
          <w:color w:val="666666"/>
          <w:sz w:val="16"/>
          <w:szCs w:val="16"/>
        </w:rPr>
        <w:t xml:space="preserve">Status key: Ready = KesselRun has it; Adapt = reuse past-proposal language; Gap = new content needed; NO-BID GATE = likely disqualifying.</w:t>
      </w:r>
    </w:p>
    <w:p>
      <w:pPr>
        <w:pStyle w:val="Heading1"/>
      </w:pPr>
      <w:r>
        <w:t xml:space="preserve">Proposal outline</w:t>
      </w:r>
    </w:p>
    <w:p>
      <w:r>
        <w:rPr>
          <w:i/>
          <w:iCs/>
          <w:color w:val="666666"/>
          <w:sz w:val="18"/>
          <w:szCs w:val="18"/>
        </w:rPr>
        <w:t xml:space="preserve">Per the RFQ, the response is two separate PDF submissions. Structure below mirrors the Section 3 instructions and the PWS.</w:t>
      </w:r>
    </w:p>
    <w:p>
      <w:pPr>
        <w:pStyle w:val="Heading2"/>
      </w:pPr>
      <w:r>
        <w:t xml:space="preserve">Submission A — Technical Quotation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Cover / transmittal (firm, UEI, CAGE, point of contact)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Ability to perform (Sec 3 ·1.2):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Key personnel resumes + English-proficiency confirmation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Automated reservation system (GDS) identification; payment-forms note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Government-fare ticketing capability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Non-CRS carrier &amp; CRS-down reservation/ticketing methods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Data-capture procedures (non-CRS / CRS down)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Staffing plan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Quality Control Plan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Established-business evidence (UAE 7+ yrs, license) — see no-bid gate</w:t>
      </w:r>
    </w:p>
    <w:p>
      <w:pPr>
        <w:pStyle w:val="ListParagraph"/>
        <w:numPr>
          <w:ilvl w:val="1"/>
          <w:numId w:val="2"/>
        </w:numPr>
      </w:pPr>
      <w:r>
        <w:rPr>
          <w:sz w:val="20"/>
          <w:szCs w:val="20"/>
        </w:rPr>
        <w:t xml:space="preserve">Past performance (3+ yrs; full reference details)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SAM registration / UEI / CAGE proof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On-site travel agent capability (Embassy Abu Dhabi)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Strategic plan: (a) work plan vs. all PWS elements; (b) equipment/supplies inventory &amp; acquisition; (c) QA &amp; contract-oversight plan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Workers’ Compensation insurance certificate(s)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Audited financial statements (3 yrs)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Deviations/exceptions/assumptions, if any</w:t>
      </w:r>
    </w:p>
    <w:p>
      <w:pPr>
        <w:pStyle w:val="Heading2"/>
      </w:pPr>
      <w:r>
        <w:t xml:space="preserve">Submission B — Price Quotation (separate email/PDF)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Completed SF-1449 cover page (required blocks)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Section 1 schedule: fixed transaction fee per CLIN, for base year and each of 4 option years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DBA insurance premium costs included in pricing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IRS Form W-14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Representations &amp; Certifications (Section 5) completed</w:t>
      </w:r>
    </w:p>
    <w:p>
      <w:pPr>
        <w:pStyle w:val="Heading2"/>
      </w:pPr>
      <w:r>
        <w:t xml:space="preserve">Reuse map (from KesselRun’s past proposals)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Reservation systems, ticketing, QC plan, staffing plan, key-personnel resumes — strong reusable language exists in prior Technical Volumes (e.g., FTC/OIA, USAID, NSF, DOS RFQ 19AQMM19Q0174).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Past-performance write-ups exist, but this RFQ wants UAE/international relevance — may be a genuine gap.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Pricing: KesselRun’s GSA labor-rate model must be reframed into a per-transaction-fee structure for this requirements contract.</w:t>
      </w:r>
    </w:p>
    <w:p>
      <w:r>
        <w:rPr>
          <w:sz w:val="8"/>
          <w:szCs w:val="8"/>
        </w:rPr>
        <w:t xml:space="preserve"/>
      </w:r>
    </w:p>
    <w:p>
      <w:r>
        <w:rPr>
          <w:i/>
          <w:iCs/>
          <w:color w:val="888888"/>
          <w:sz w:val="16"/>
          <w:szCs w:val="16"/>
        </w:rPr>
        <w:t xml:space="preserve">Source: SAM.gov RFQ 19TC1026Q0003 attachments (Solicitation; Document Submission Checklist). Generated as a working draft — verify against the live solicitation and any amendments before relying on it.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  <w:lvl w:ilvl="1" w15:tentative="1">
      <w:start w:val="1"/>
      <w:numFmt w:val="bullet"/>
      <w:lvlText w:val="–"/>
      <w:lvlJc w:val="left"/>
      <w:pPr>
        <w:ind w:left="10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5A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2026-06-15T19:41:11.332Z</dcterms:created>
  <dcterms:modified xsi:type="dcterms:W3CDTF">2026-06-15T19:41:11.333Z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